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B0FB" w14:textId="113E3B90" w:rsidR="00135710" w:rsidRPr="005369BA" w:rsidRDefault="00135710" w:rsidP="00135710">
      <w:pPr>
        <w:pStyle w:val="BasicParagraph"/>
        <w:tabs>
          <w:tab w:val="right" w:pos="9184"/>
        </w:tabs>
        <w:jc w:val="right"/>
        <w:rPr>
          <w:rFonts w:ascii="Arial" w:hAnsi="Arial" w:cs="Arial"/>
          <w:color w:val="auto"/>
          <w:lang w:val="pt-BR"/>
        </w:rPr>
      </w:pPr>
      <w:bookmarkStart w:id="0" w:name="_Hlk193117137"/>
      <w:r w:rsidRPr="005369BA">
        <w:rPr>
          <w:rFonts w:ascii="Arial" w:hAnsi="Arial" w:cs="Arial"/>
          <w:iCs/>
          <w:color w:val="auto"/>
          <w:lang w:val="pt-BR"/>
        </w:rPr>
        <w:t xml:space="preserve">Maricá, </w:t>
      </w:r>
      <w:r w:rsidR="00532C40">
        <w:rPr>
          <w:rFonts w:ascii="Arial" w:hAnsi="Arial" w:cs="Arial"/>
          <w:iCs/>
          <w:color w:val="auto"/>
          <w:lang w:val="pt-BR"/>
        </w:rPr>
        <w:t>14</w:t>
      </w:r>
      <w:r w:rsidRPr="005369BA">
        <w:rPr>
          <w:rFonts w:ascii="Arial" w:hAnsi="Arial" w:cs="Arial"/>
          <w:iCs/>
          <w:color w:val="auto"/>
          <w:lang w:val="pt-BR"/>
        </w:rPr>
        <w:t xml:space="preserve"> de </w:t>
      </w:r>
      <w:r w:rsidR="00532C40">
        <w:rPr>
          <w:rFonts w:ascii="Arial" w:hAnsi="Arial" w:cs="Arial"/>
          <w:iCs/>
          <w:color w:val="auto"/>
          <w:lang w:val="pt-BR"/>
        </w:rPr>
        <w:t>abril</w:t>
      </w:r>
      <w:r w:rsidRPr="005369BA">
        <w:rPr>
          <w:rFonts w:ascii="Arial" w:hAnsi="Arial" w:cs="Arial"/>
          <w:iCs/>
          <w:color w:val="auto"/>
          <w:lang w:val="pt-BR"/>
        </w:rPr>
        <w:t xml:space="preserve"> de 202</w:t>
      </w:r>
      <w:r w:rsidR="000243A8">
        <w:rPr>
          <w:rFonts w:ascii="Arial" w:hAnsi="Arial" w:cs="Arial"/>
          <w:iCs/>
          <w:color w:val="auto"/>
          <w:lang w:val="pt-BR"/>
        </w:rPr>
        <w:t>6</w:t>
      </w:r>
      <w:r>
        <w:rPr>
          <w:rFonts w:ascii="Arial" w:hAnsi="Arial" w:cs="Arial"/>
          <w:iCs/>
          <w:color w:val="auto"/>
          <w:lang w:val="pt-BR"/>
        </w:rPr>
        <w:t>.</w:t>
      </w:r>
    </w:p>
    <w:p w14:paraId="3A118A04" w14:textId="77777777" w:rsidR="00135710" w:rsidRDefault="00135710" w:rsidP="00135710">
      <w:pPr>
        <w:pStyle w:val="BasicParagraph"/>
        <w:rPr>
          <w:rFonts w:ascii="Arial" w:hAnsi="Arial" w:cs="Arial"/>
          <w:color w:val="auto"/>
          <w:lang w:val="pt-BR"/>
        </w:rPr>
      </w:pPr>
    </w:p>
    <w:p w14:paraId="4DE8869B" w14:textId="23B7E566" w:rsidR="00135710" w:rsidRPr="009F747F" w:rsidRDefault="00135710" w:rsidP="00CA5855">
      <w:pPr>
        <w:pStyle w:val="BasicParagraph"/>
        <w:spacing w:before="240" w:after="240" w:line="360" w:lineRule="auto"/>
        <w:rPr>
          <w:rFonts w:ascii="Arial" w:hAnsi="Arial" w:cs="Arial"/>
          <w:b/>
          <w:bCs/>
          <w:color w:val="auto"/>
          <w:lang w:val="pt-BR"/>
        </w:rPr>
      </w:pPr>
      <w:r w:rsidRPr="009F747F">
        <w:rPr>
          <w:rFonts w:ascii="Arial" w:hAnsi="Arial" w:cs="Arial"/>
          <w:b/>
          <w:bCs/>
          <w:color w:val="auto"/>
          <w:lang w:val="pt-BR"/>
        </w:rPr>
        <w:t>À Diretoria de</w:t>
      </w:r>
      <w:r w:rsidR="00CA5855" w:rsidRPr="009F747F">
        <w:rPr>
          <w:rFonts w:ascii="Arial" w:hAnsi="Arial" w:cs="Arial"/>
          <w:b/>
          <w:bCs/>
          <w:color w:val="auto"/>
          <w:lang w:val="pt-BR"/>
        </w:rPr>
        <w:t xml:space="preserve"> Governança em</w:t>
      </w:r>
      <w:r w:rsidRPr="009F747F">
        <w:rPr>
          <w:rFonts w:ascii="Arial" w:hAnsi="Arial" w:cs="Arial"/>
          <w:b/>
          <w:bCs/>
          <w:color w:val="auto"/>
          <w:lang w:val="pt-BR"/>
        </w:rPr>
        <w:t xml:space="preserve"> Licitações</w:t>
      </w:r>
      <w:r w:rsidR="00CA5855" w:rsidRPr="009F747F">
        <w:rPr>
          <w:rFonts w:ascii="Arial" w:hAnsi="Arial" w:cs="Arial"/>
          <w:b/>
          <w:bCs/>
          <w:color w:val="auto"/>
          <w:lang w:val="pt-BR"/>
        </w:rPr>
        <w:t xml:space="preserve"> e Contratações</w:t>
      </w:r>
    </w:p>
    <w:p w14:paraId="23B61131" w14:textId="77777777" w:rsidR="00135710" w:rsidRPr="009F747F" w:rsidRDefault="00135710" w:rsidP="00CA5855">
      <w:pPr>
        <w:pStyle w:val="BasicParagraph"/>
        <w:spacing w:before="240" w:after="240" w:line="360" w:lineRule="auto"/>
        <w:rPr>
          <w:rFonts w:ascii="Arial" w:hAnsi="Arial" w:cs="Arial"/>
          <w:color w:val="auto"/>
          <w:lang w:val="pt-BR"/>
        </w:rPr>
      </w:pPr>
    </w:p>
    <w:p w14:paraId="3963FB29" w14:textId="45647AFF" w:rsidR="007C7CE8" w:rsidRPr="009F747F" w:rsidRDefault="00217031" w:rsidP="00CA5855">
      <w:pPr>
        <w:pStyle w:val="NormalWeb"/>
        <w:spacing w:before="240" w:beforeAutospacing="0" w:after="240" w:afterAutospacing="0" w:line="360" w:lineRule="auto"/>
        <w:ind w:firstLine="1701"/>
        <w:jc w:val="both"/>
        <w:rPr>
          <w:rFonts w:ascii="Arial" w:eastAsiaTheme="minorEastAsia" w:hAnsi="Arial" w:cs="Arial"/>
        </w:rPr>
      </w:pPr>
      <w:r w:rsidRPr="00217031">
        <w:rPr>
          <w:rFonts w:ascii="Arial" w:eastAsiaTheme="minorEastAsia" w:hAnsi="Arial" w:cs="Arial"/>
        </w:rPr>
        <w:t>Em conformidade com o disposto no subitem 9.9 do Edital do Procedimento Licitatório Aberto Eletrônico (PLAE) n° 0</w:t>
      </w:r>
      <w:r w:rsidR="00532C40">
        <w:rPr>
          <w:rFonts w:ascii="Arial" w:eastAsiaTheme="minorEastAsia" w:hAnsi="Arial" w:cs="Arial"/>
        </w:rPr>
        <w:t>4</w:t>
      </w:r>
      <w:r w:rsidRPr="00217031">
        <w:rPr>
          <w:rFonts w:ascii="Arial" w:eastAsiaTheme="minorEastAsia" w:hAnsi="Arial" w:cs="Arial"/>
        </w:rPr>
        <w:t xml:space="preserve">/2026, Processo n° </w:t>
      </w:r>
      <w:r w:rsidR="00532C40">
        <w:rPr>
          <w:rFonts w:ascii="Arial" w:eastAsiaTheme="minorEastAsia" w:hAnsi="Arial" w:cs="Arial"/>
        </w:rPr>
        <w:t>12051</w:t>
      </w:r>
      <w:r w:rsidRPr="00217031">
        <w:rPr>
          <w:rFonts w:ascii="Arial" w:eastAsiaTheme="minorEastAsia" w:hAnsi="Arial" w:cs="Arial"/>
        </w:rPr>
        <w:t xml:space="preserve">/2025, e considerando a decisão proferida em recurso administrativo pelo Agente de Licitação, </w:t>
      </w:r>
      <w:r w:rsidRPr="009F747F">
        <w:rPr>
          <w:rFonts w:ascii="Arial" w:eastAsiaTheme="minorEastAsia" w:hAnsi="Arial" w:cs="Arial"/>
        </w:rPr>
        <w:t xml:space="preserve">que desclassificou a proposta da empresa recorrente em favor das contrarrazões apresentadas e dos elementos técnicos contidos nos autos, </w:t>
      </w:r>
      <w:r w:rsidRPr="00217031">
        <w:rPr>
          <w:rFonts w:ascii="Arial" w:eastAsiaTheme="minorEastAsia" w:hAnsi="Arial" w:cs="Arial"/>
        </w:rPr>
        <w:t>passo a manifestar-me, no escopo das atribuições desta Diretoria Requisitante, acerca do recurso interposto pela empresa </w:t>
      </w:r>
      <w:r w:rsidR="00532C40" w:rsidRPr="00532C40">
        <w:rPr>
          <w:rFonts w:ascii="Arial" w:eastAsiaTheme="minorEastAsia" w:hAnsi="Arial" w:cs="Arial"/>
          <w:b/>
          <w:bCs/>
        </w:rPr>
        <w:t>SIMPRESS COMÉRCIO LOCAÇÃO E SERVIÇOS LTDA</w:t>
      </w:r>
      <w:r w:rsidRPr="00217031">
        <w:rPr>
          <w:rFonts w:ascii="Arial" w:eastAsiaTheme="minorEastAsia" w:hAnsi="Arial" w:cs="Arial"/>
        </w:rPr>
        <w:t> contra a decisão de sua desclassificação e a consequente habilitação da empresa </w:t>
      </w:r>
      <w:r w:rsidR="00532C40" w:rsidRPr="00532C40">
        <w:rPr>
          <w:rFonts w:ascii="Arial" w:eastAsiaTheme="minorEastAsia" w:hAnsi="Arial" w:cs="Arial"/>
          <w:b/>
          <w:bCs/>
        </w:rPr>
        <w:t>KOLKE DO BRASIL IMPORTAÇÃO E EXPORTAÇÃO LTDA</w:t>
      </w:r>
      <w:r w:rsidRPr="00217031">
        <w:rPr>
          <w:rFonts w:ascii="Arial" w:eastAsiaTheme="minorEastAsia" w:hAnsi="Arial" w:cs="Arial"/>
        </w:rPr>
        <w:t>, nos seguintes termos</w:t>
      </w:r>
      <w:r w:rsidR="000243A8" w:rsidRPr="009F747F">
        <w:rPr>
          <w:rFonts w:ascii="Arial" w:eastAsiaTheme="minorEastAsia" w:hAnsi="Arial" w:cs="Arial"/>
        </w:rPr>
        <w:t>:</w:t>
      </w:r>
    </w:p>
    <w:p w14:paraId="4018DE78" w14:textId="62511CED" w:rsidR="00532C40" w:rsidRPr="009F747F" w:rsidRDefault="00532C40" w:rsidP="00CA5855">
      <w:pPr>
        <w:pStyle w:val="NormalWeb"/>
        <w:numPr>
          <w:ilvl w:val="0"/>
          <w:numId w:val="2"/>
        </w:numPr>
        <w:tabs>
          <w:tab w:val="left" w:pos="1701"/>
        </w:tabs>
        <w:suppressAutoHyphens w:val="0"/>
        <w:spacing w:before="240" w:beforeAutospacing="0" w:after="240" w:afterAutospacing="0" w:line="360" w:lineRule="auto"/>
        <w:ind w:left="0" w:firstLine="0"/>
        <w:jc w:val="both"/>
        <w:rPr>
          <w:rFonts w:ascii="Arial" w:hAnsi="Arial" w:cs="Arial"/>
        </w:rPr>
      </w:pPr>
      <w:r w:rsidRPr="00532C40">
        <w:rPr>
          <w:rFonts w:ascii="Arial" w:hAnsi="Arial" w:cs="Arial"/>
        </w:rPr>
        <w:t>Após análise dos autos, das razões recursais suscitadas pela Recorrente, das contrarrazões apresentadas e do fundamentado Relatório</w:t>
      </w:r>
      <w:r>
        <w:rPr>
          <w:rFonts w:ascii="Arial" w:hAnsi="Arial" w:cs="Arial"/>
        </w:rPr>
        <w:t xml:space="preserve"> de </w:t>
      </w:r>
      <w:r w:rsidRPr="00532C40">
        <w:rPr>
          <w:rFonts w:ascii="Arial" w:hAnsi="Arial" w:cs="Arial"/>
        </w:rPr>
        <w:t xml:space="preserve">Decisão do Agente de Licitação, concluo que a condução da fase de julgamento observou rigorosamente os princípios constitucionais e legais que regem a Administração Pública, notadamente a legalidade, a impessoalidade, a isonomia, a vinculação estrita ao instrumento convocatório e o julgamento objetivo, conforme preceituam o art. 31 da Lei nº 13.303/2016 e o Regulamento Interno de Licitações e Contratos (RILCC) da CODEMAR. </w:t>
      </w:r>
      <w:r w:rsidR="005F6478" w:rsidRPr="00217031">
        <w:rPr>
          <w:rFonts w:ascii="Arial" w:hAnsi="Arial" w:cs="Arial"/>
        </w:rPr>
        <w:t>A desclassificação da Recorrente</w:t>
      </w:r>
      <w:r w:rsidRPr="00532C40">
        <w:rPr>
          <w:rFonts w:ascii="Arial" w:hAnsi="Arial" w:cs="Arial"/>
        </w:rPr>
        <w:t xml:space="preserve"> pautou-se em critérios eminentemente técnicos, não havendo qualquer vício, mácula ou irregularidade que justifique a revisão do ato administrativamente consolidado.</w:t>
      </w:r>
    </w:p>
    <w:p w14:paraId="43D63C3F" w14:textId="164BBEA1" w:rsidR="00607F48" w:rsidRDefault="00607F48" w:rsidP="00CA5855">
      <w:pPr>
        <w:pStyle w:val="NormalWeb"/>
        <w:numPr>
          <w:ilvl w:val="0"/>
          <w:numId w:val="2"/>
        </w:numPr>
        <w:tabs>
          <w:tab w:val="left" w:pos="1701"/>
        </w:tabs>
        <w:suppressAutoHyphens w:val="0"/>
        <w:spacing w:before="240" w:beforeAutospacing="0" w:after="240" w:afterAutospacing="0" w:line="360" w:lineRule="auto"/>
        <w:ind w:left="0" w:firstLine="0"/>
        <w:jc w:val="both"/>
        <w:rPr>
          <w:rFonts w:ascii="Arial" w:hAnsi="Arial" w:cs="Arial"/>
        </w:rPr>
      </w:pPr>
      <w:r w:rsidRPr="00607F48">
        <w:rPr>
          <w:rFonts w:ascii="Arial" w:hAnsi="Arial" w:cs="Arial"/>
        </w:rPr>
        <w:t xml:space="preserve">No tocante à alegação principal da Recorrente sobre a não realização de diligências para sanar supostas falhas de sua proposta, corroboramos o entendimento </w:t>
      </w:r>
      <w:r>
        <w:rPr>
          <w:rFonts w:ascii="Arial" w:hAnsi="Arial" w:cs="Arial"/>
        </w:rPr>
        <w:t>apesentado</w:t>
      </w:r>
      <w:r w:rsidRPr="00607F48">
        <w:rPr>
          <w:rFonts w:ascii="Arial" w:hAnsi="Arial" w:cs="Arial"/>
        </w:rPr>
        <w:t xml:space="preserve"> pelo Agente de Licitação. A diligência, conforme dispõe o art. 54, § 3º, VIII, do RILCC, consubstancia-se em instrumento voltado ao esclarecimento de dúvidas pontuais ou à complementação de informações já </w:t>
      </w:r>
      <w:r w:rsidRPr="00607F48">
        <w:rPr>
          <w:rFonts w:ascii="Arial" w:hAnsi="Arial" w:cs="Arial"/>
        </w:rPr>
        <w:lastRenderedPageBreak/>
        <w:t>intrinsecamente apresentadas, não se prestando, sob nenhuma hipótese, à complementação de documentos essenciais que deveriam ter sido acostados na fase própria.</w:t>
      </w:r>
    </w:p>
    <w:p w14:paraId="6302DFD5" w14:textId="3AFE7D22" w:rsidR="00607F48" w:rsidRPr="009F747F" w:rsidRDefault="00607F48" w:rsidP="00CA5855">
      <w:pPr>
        <w:pStyle w:val="NormalWeb"/>
        <w:numPr>
          <w:ilvl w:val="0"/>
          <w:numId w:val="2"/>
        </w:numPr>
        <w:tabs>
          <w:tab w:val="left" w:pos="1701"/>
        </w:tabs>
        <w:suppressAutoHyphens w:val="0"/>
        <w:spacing w:before="240" w:beforeAutospacing="0" w:after="240" w:afterAutospacing="0" w:line="360" w:lineRule="auto"/>
        <w:ind w:left="0" w:firstLine="0"/>
        <w:jc w:val="both"/>
        <w:rPr>
          <w:rFonts w:ascii="Arial" w:hAnsi="Arial" w:cs="Arial"/>
        </w:rPr>
      </w:pPr>
      <w:r w:rsidRPr="00607F48">
        <w:rPr>
          <w:rFonts w:ascii="Arial" w:hAnsi="Arial" w:cs="Arial"/>
        </w:rPr>
        <w:t>Verificou-se no caso em tela que um dos documentos essenciais apresentados pela empresa Recorrente possuía data posterior ao início da licitação. Tal fato configura vício material insanável, impossível de ser convalidado por meio de diligência, visto que alteraria substancialmente a condição de participação da licitante no momento da abertura das propostas. A admissão de tal prática configuraria patente violação ao princípio da isonomia e desvirtuaria a natureza competitiva do certame, permitindo a reconstrução de propostas de forma extemporânea.</w:t>
      </w:r>
    </w:p>
    <w:p w14:paraId="6518BC4B" w14:textId="7854D8A1" w:rsidR="00CA5855" w:rsidRPr="009F747F" w:rsidRDefault="0027273E" w:rsidP="00CA5855">
      <w:pPr>
        <w:pStyle w:val="NormalWeb"/>
        <w:numPr>
          <w:ilvl w:val="0"/>
          <w:numId w:val="2"/>
        </w:numPr>
        <w:tabs>
          <w:tab w:val="left" w:pos="1701"/>
        </w:tabs>
        <w:suppressAutoHyphens w:val="0"/>
        <w:spacing w:before="240" w:beforeAutospacing="0" w:after="240" w:afterAutospacing="0" w:line="360" w:lineRule="auto"/>
        <w:ind w:left="0" w:firstLine="0"/>
        <w:jc w:val="both"/>
        <w:rPr>
          <w:rFonts w:ascii="Arial" w:hAnsi="Arial" w:cs="Arial"/>
        </w:rPr>
      </w:pPr>
      <w:r w:rsidRPr="0027273E">
        <w:rPr>
          <w:rFonts w:ascii="Arial" w:hAnsi="Arial" w:cs="Arial"/>
        </w:rPr>
        <w:t>Conforme exaustivamente demonstrado nos Relatórios de Análise Técnica constantes nos autos</w:t>
      </w:r>
      <w:r>
        <w:rPr>
          <w:rFonts w:ascii="Arial" w:hAnsi="Arial" w:cs="Arial"/>
        </w:rPr>
        <w:t xml:space="preserve"> do processo administrativo 12051/2025</w:t>
      </w:r>
      <w:r w:rsidRPr="0027273E">
        <w:rPr>
          <w:rFonts w:ascii="Arial" w:hAnsi="Arial" w:cs="Arial"/>
        </w:rPr>
        <w:t xml:space="preserve"> (fls. 1435/1442, fls. 1537/1546 e fls. 1562/1574), esta Diretoria, agindo com amparo no art. 81, parágrafo único, do RILCC, procedeu à </w:t>
      </w:r>
      <w:r>
        <w:rPr>
          <w:rFonts w:ascii="Arial" w:hAnsi="Arial" w:cs="Arial"/>
        </w:rPr>
        <w:t>análise técnica</w:t>
      </w:r>
      <w:r w:rsidRPr="0027273E">
        <w:rPr>
          <w:rFonts w:ascii="Arial" w:hAnsi="Arial" w:cs="Arial"/>
        </w:rPr>
        <w:t xml:space="preserve"> dos documentos complementares e da amostra fornecida pela empresa KOLKE</w:t>
      </w:r>
      <w:r>
        <w:rPr>
          <w:rFonts w:ascii="Arial" w:hAnsi="Arial" w:cs="Arial"/>
        </w:rPr>
        <w:t>,</w:t>
      </w:r>
      <w:r w:rsidRPr="0027273E">
        <w:rPr>
          <w:rFonts w:ascii="Arial" w:hAnsi="Arial" w:cs="Arial"/>
        </w:rPr>
        <w:t xml:space="preserve"> atestando a regularidade da amostra, validando a prova de conceito e confirmando que a proposta atende plenamente ao nível de serviço (SLA) e às complexidades do objeto pretendido. Assim, as objeções da Recorrente traduzem-se em mero inconformismo com o mérito da análise técnica, a qual se encontra devidamente fundamentada, materializada e incontroversa nos autos.</w:t>
      </w:r>
    </w:p>
    <w:p w14:paraId="57382F57" w14:textId="09D351E6" w:rsidR="000243A8" w:rsidRPr="009F747F" w:rsidRDefault="00293225" w:rsidP="00CA5855">
      <w:pPr>
        <w:pStyle w:val="NormalWeb"/>
        <w:numPr>
          <w:ilvl w:val="0"/>
          <w:numId w:val="2"/>
        </w:numPr>
        <w:tabs>
          <w:tab w:val="left" w:pos="1701"/>
        </w:tabs>
        <w:suppressAutoHyphens w:val="0"/>
        <w:spacing w:before="240" w:beforeAutospacing="0" w:after="240" w:afterAutospacing="0" w:line="360" w:lineRule="auto"/>
        <w:ind w:left="0" w:firstLine="0"/>
        <w:jc w:val="both"/>
        <w:rPr>
          <w:rFonts w:ascii="Arial" w:hAnsi="Arial" w:cs="Arial"/>
        </w:rPr>
      </w:pPr>
      <w:r>
        <w:rPr>
          <w:rFonts w:ascii="Arial" w:hAnsi="Arial" w:cs="Arial"/>
        </w:rPr>
        <w:t>Dessa forma</w:t>
      </w:r>
      <w:r w:rsidR="007731B4" w:rsidRPr="007731B4">
        <w:rPr>
          <w:rFonts w:ascii="Arial" w:hAnsi="Arial" w:cs="Arial"/>
        </w:rPr>
        <w:t xml:space="preserve">, </w:t>
      </w:r>
      <w:r w:rsidR="0082048B" w:rsidRPr="0082048B">
        <w:rPr>
          <w:rFonts w:ascii="Arial" w:hAnsi="Arial" w:cs="Arial"/>
        </w:rPr>
        <w:t>o recurso administrativo apresentado pela SIMPRESS COMÉRCIO LOCAÇÃO E SERVIÇOS LTDA</w:t>
      </w:r>
      <w:r w:rsidR="0082048B" w:rsidRPr="0082048B">
        <w:rPr>
          <w:rFonts w:ascii="Arial" w:hAnsi="Arial" w:cs="Arial"/>
        </w:rPr>
        <w:t xml:space="preserve"> </w:t>
      </w:r>
      <w:r w:rsidR="007731B4" w:rsidRPr="007731B4">
        <w:rPr>
          <w:rFonts w:ascii="Arial" w:hAnsi="Arial" w:cs="Arial"/>
        </w:rPr>
        <w:t xml:space="preserve">não traz </w:t>
      </w:r>
      <w:r w:rsidR="0082048B" w:rsidRPr="0082048B">
        <w:rPr>
          <w:rFonts w:ascii="Arial" w:hAnsi="Arial" w:cs="Arial"/>
        </w:rPr>
        <w:t>aos autos inovações fáticas, normativas ou fatos supervenientes capazes de desconstituir</w:t>
      </w:r>
      <w:r w:rsidR="0082048B" w:rsidRPr="0082048B">
        <w:rPr>
          <w:rFonts w:ascii="Arial" w:hAnsi="Arial" w:cs="Arial"/>
        </w:rPr>
        <w:t xml:space="preserve"> </w:t>
      </w:r>
      <w:r w:rsidR="007731B4" w:rsidRPr="007731B4">
        <w:rPr>
          <w:rFonts w:ascii="Arial" w:hAnsi="Arial" w:cs="Arial"/>
        </w:rPr>
        <w:t xml:space="preserve">as razões que motivaram </w:t>
      </w:r>
      <w:r w:rsidR="0082048B" w:rsidRPr="0082048B">
        <w:rPr>
          <w:rFonts w:ascii="Arial" w:hAnsi="Arial" w:cs="Arial"/>
        </w:rPr>
        <w:t>a sua desclassificação e a habilitação da empresa KOLKE DO BRASIL IMPORTAÇÃO E EXPORTAÇÃO LTDA</w:t>
      </w:r>
      <w:r w:rsidR="009F747F" w:rsidRPr="009F747F">
        <w:rPr>
          <w:rFonts w:ascii="Arial" w:hAnsi="Arial" w:cs="Arial"/>
        </w:rPr>
        <w:t>.</w:t>
      </w:r>
    </w:p>
    <w:p w14:paraId="6FD938FC" w14:textId="77777777" w:rsidR="00CA5855" w:rsidRPr="009F747F" w:rsidRDefault="00CA5855" w:rsidP="00CA5855">
      <w:pPr>
        <w:pStyle w:val="NormalWeb"/>
        <w:spacing w:before="240" w:beforeAutospacing="0" w:after="240" w:afterAutospacing="0" w:line="360" w:lineRule="auto"/>
        <w:jc w:val="both"/>
        <w:rPr>
          <w:rFonts w:ascii="Arial" w:eastAsiaTheme="minorEastAsia" w:hAnsi="Arial" w:cs="Arial"/>
        </w:rPr>
      </w:pPr>
      <w:r w:rsidRPr="009F747F">
        <w:rPr>
          <w:rStyle w:val="Forte"/>
          <w:rFonts w:ascii="Arial" w:hAnsi="Arial" w:cs="Arial"/>
        </w:rPr>
        <w:t>Diante do exposto, determino:</w:t>
      </w:r>
    </w:p>
    <w:p w14:paraId="7B6C1BBF" w14:textId="7937F0E4" w:rsidR="00CA5855" w:rsidRPr="009F747F" w:rsidRDefault="007731B4" w:rsidP="00CA5855">
      <w:pPr>
        <w:numPr>
          <w:ilvl w:val="0"/>
          <w:numId w:val="1"/>
        </w:numPr>
        <w:tabs>
          <w:tab w:val="clear" w:pos="720"/>
        </w:tabs>
        <w:spacing w:before="240" w:after="240" w:line="360" w:lineRule="auto"/>
        <w:ind w:left="0" w:firstLine="0"/>
        <w:jc w:val="both"/>
        <w:rPr>
          <w:rFonts w:ascii="Arial" w:eastAsia="Times New Roman" w:hAnsi="Arial" w:cs="Arial"/>
          <w:sz w:val="24"/>
          <w:szCs w:val="24"/>
        </w:rPr>
      </w:pPr>
      <w:r w:rsidRPr="007731B4">
        <w:rPr>
          <w:rFonts w:ascii="Arial" w:eastAsia="Times New Roman" w:hAnsi="Arial" w:cs="Arial"/>
          <w:sz w:val="24"/>
          <w:szCs w:val="24"/>
        </w:rPr>
        <w:lastRenderedPageBreak/>
        <w:t>O</w:t>
      </w:r>
      <w:r w:rsidR="000731FF" w:rsidRPr="000731FF">
        <w:rPr>
          <w:rFonts w:ascii="Arial" w:eastAsia="Times New Roman" w:hAnsi="Arial" w:cs="Arial"/>
          <w:sz w:val="24"/>
          <w:szCs w:val="24"/>
        </w:rPr>
        <w:t xml:space="preserve"> indeferimento total do recurso administrativo apresentado pela empresa SIMPRESS COMÉRCIO LOCAÇÃO E SERVIÇOS LTDA, por manifesta improcedência de suas alegações técnicas e procedimentais</w:t>
      </w:r>
      <w:r w:rsidR="00CA5855" w:rsidRPr="009F747F">
        <w:rPr>
          <w:rFonts w:ascii="Arial" w:eastAsia="Times New Roman" w:hAnsi="Arial" w:cs="Arial"/>
          <w:sz w:val="24"/>
          <w:szCs w:val="24"/>
        </w:rPr>
        <w:t>;</w:t>
      </w:r>
    </w:p>
    <w:p w14:paraId="7D717208" w14:textId="59C9B055" w:rsidR="00CA5855" w:rsidRPr="009F747F" w:rsidRDefault="000731FF" w:rsidP="00CA5855">
      <w:pPr>
        <w:numPr>
          <w:ilvl w:val="0"/>
          <w:numId w:val="1"/>
        </w:numPr>
        <w:tabs>
          <w:tab w:val="clear" w:pos="720"/>
        </w:tabs>
        <w:spacing w:before="240" w:after="240" w:line="360" w:lineRule="auto"/>
        <w:ind w:left="0" w:firstLine="0"/>
        <w:jc w:val="both"/>
        <w:rPr>
          <w:rFonts w:ascii="Arial" w:eastAsia="Times New Roman" w:hAnsi="Arial" w:cs="Arial"/>
          <w:sz w:val="24"/>
          <w:szCs w:val="24"/>
        </w:rPr>
      </w:pPr>
      <w:r w:rsidRPr="000731FF">
        <w:rPr>
          <w:rFonts w:ascii="Arial" w:eastAsia="Times New Roman" w:hAnsi="Arial" w:cs="Arial"/>
          <w:sz w:val="24"/>
          <w:szCs w:val="24"/>
        </w:rPr>
        <w:t>A manutenção integral da decisão do Agente de Licitação que desclassificou a empresa Recorrente e declarou vencedora a empresa KOLKE DO BRASIL IMPORTAÇÃO E EXPORTAÇÃO LTDA</w:t>
      </w:r>
      <w:r w:rsidR="00CA5855" w:rsidRPr="009F747F">
        <w:rPr>
          <w:rFonts w:ascii="Arial" w:eastAsia="Times New Roman" w:hAnsi="Arial" w:cs="Arial"/>
          <w:sz w:val="24"/>
          <w:szCs w:val="24"/>
        </w:rPr>
        <w:t>;</w:t>
      </w:r>
    </w:p>
    <w:p w14:paraId="0430A2A8" w14:textId="1DB2D0AE" w:rsidR="00CA5855" w:rsidRPr="009F747F" w:rsidRDefault="000731FF" w:rsidP="00CA5855">
      <w:pPr>
        <w:numPr>
          <w:ilvl w:val="0"/>
          <w:numId w:val="1"/>
        </w:numPr>
        <w:tabs>
          <w:tab w:val="clear" w:pos="720"/>
        </w:tabs>
        <w:spacing w:before="240" w:after="240" w:line="360" w:lineRule="auto"/>
        <w:ind w:left="0" w:firstLine="0"/>
        <w:jc w:val="both"/>
        <w:rPr>
          <w:rFonts w:ascii="Arial" w:eastAsia="Times New Roman" w:hAnsi="Arial" w:cs="Arial"/>
          <w:sz w:val="24"/>
          <w:szCs w:val="24"/>
        </w:rPr>
      </w:pPr>
      <w:r w:rsidRPr="000731FF">
        <w:rPr>
          <w:rFonts w:ascii="Arial" w:eastAsia="Times New Roman" w:hAnsi="Arial" w:cs="Arial"/>
          <w:sz w:val="24"/>
          <w:szCs w:val="24"/>
        </w:rPr>
        <w:t xml:space="preserve">O andamento normal dos procedimentos, encaminhando-se os autos processuais para a consequente adjudicação do objeto à empresa vencedora e a respectiva homologação do </w:t>
      </w:r>
      <w:proofErr w:type="gramStart"/>
      <w:r w:rsidRPr="000731FF">
        <w:rPr>
          <w:rFonts w:ascii="Arial" w:eastAsia="Times New Roman" w:hAnsi="Arial" w:cs="Arial"/>
          <w:sz w:val="24"/>
          <w:szCs w:val="24"/>
        </w:rPr>
        <w:t>resultado final</w:t>
      </w:r>
      <w:proofErr w:type="gramEnd"/>
      <w:r w:rsidRPr="000731FF">
        <w:rPr>
          <w:rFonts w:ascii="Arial" w:eastAsia="Times New Roman" w:hAnsi="Arial" w:cs="Arial"/>
          <w:sz w:val="24"/>
          <w:szCs w:val="24"/>
        </w:rPr>
        <w:t xml:space="preserve"> do certame PLAE nº 04/2026</w:t>
      </w:r>
      <w:r w:rsidR="00CA5855" w:rsidRPr="009F747F">
        <w:rPr>
          <w:rFonts w:ascii="Arial" w:eastAsia="Times New Roman" w:hAnsi="Arial" w:cs="Arial"/>
          <w:sz w:val="24"/>
          <w:szCs w:val="24"/>
        </w:rPr>
        <w:t>;</w:t>
      </w:r>
    </w:p>
    <w:p w14:paraId="58DCC359" w14:textId="68F11652" w:rsidR="00CA5855" w:rsidRPr="009F747F" w:rsidRDefault="007C7CE8" w:rsidP="00CA5855">
      <w:pPr>
        <w:numPr>
          <w:ilvl w:val="0"/>
          <w:numId w:val="1"/>
        </w:numPr>
        <w:tabs>
          <w:tab w:val="clear" w:pos="720"/>
        </w:tabs>
        <w:spacing w:before="240" w:after="240" w:line="360" w:lineRule="auto"/>
        <w:ind w:left="0" w:firstLine="0"/>
        <w:jc w:val="both"/>
        <w:rPr>
          <w:rFonts w:ascii="Arial" w:eastAsia="Times New Roman" w:hAnsi="Arial" w:cs="Arial"/>
          <w:sz w:val="24"/>
          <w:szCs w:val="24"/>
        </w:rPr>
      </w:pPr>
      <w:r w:rsidRPr="009F747F">
        <w:rPr>
          <w:rFonts w:ascii="Arial" w:eastAsia="Times New Roman" w:hAnsi="Arial" w:cs="Arial"/>
          <w:sz w:val="24"/>
          <w:szCs w:val="24"/>
        </w:rPr>
        <w:t>A juntada deste despacho aos autos para</w:t>
      </w:r>
      <w:r w:rsidR="00B7688B">
        <w:rPr>
          <w:rFonts w:ascii="Arial" w:eastAsia="Times New Roman" w:hAnsi="Arial" w:cs="Arial"/>
          <w:sz w:val="24"/>
          <w:szCs w:val="24"/>
        </w:rPr>
        <w:t xml:space="preserve"> a adoção</w:t>
      </w:r>
      <w:r w:rsidRPr="009F747F">
        <w:rPr>
          <w:rFonts w:ascii="Arial" w:eastAsia="Times New Roman" w:hAnsi="Arial" w:cs="Arial"/>
          <w:sz w:val="24"/>
          <w:szCs w:val="24"/>
        </w:rPr>
        <w:t xml:space="preserve"> </w:t>
      </w:r>
      <w:r w:rsidR="00B7688B">
        <w:rPr>
          <w:rFonts w:ascii="Arial" w:eastAsia="Times New Roman" w:hAnsi="Arial" w:cs="Arial"/>
          <w:sz w:val="24"/>
          <w:szCs w:val="24"/>
        </w:rPr>
        <w:t>d</w:t>
      </w:r>
      <w:r w:rsidRPr="009F747F">
        <w:rPr>
          <w:rFonts w:ascii="Arial" w:eastAsia="Times New Roman" w:hAnsi="Arial" w:cs="Arial"/>
          <w:sz w:val="24"/>
          <w:szCs w:val="24"/>
        </w:rPr>
        <w:t>as medidas e providências cabíveis</w:t>
      </w:r>
      <w:r w:rsidR="00CA5855" w:rsidRPr="009F747F">
        <w:rPr>
          <w:rFonts w:ascii="Arial" w:eastAsia="Times New Roman" w:hAnsi="Arial" w:cs="Arial"/>
          <w:sz w:val="24"/>
          <w:szCs w:val="24"/>
        </w:rPr>
        <w:t>.</w:t>
      </w:r>
    </w:p>
    <w:bookmarkEnd w:id="0"/>
    <w:p w14:paraId="32155141" w14:textId="77777777" w:rsidR="00CA5855" w:rsidRDefault="00CA5855" w:rsidP="00CA5855">
      <w:pPr>
        <w:pStyle w:val="BasicParagraph"/>
        <w:spacing w:before="240" w:after="240" w:line="360" w:lineRule="auto"/>
        <w:ind w:firstLine="1418"/>
        <w:rPr>
          <w:rFonts w:ascii="Arial" w:hAnsi="Arial" w:cs="Arial"/>
          <w:color w:val="auto"/>
          <w:lang w:val="pt-BR"/>
        </w:rPr>
      </w:pPr>
    </w:p>
    <w:p w14:paraId="6D98F545" w14:textId="105543C3" w:rsidR="00135710" w:rsidRPr="005369BA" w:rsidRDefault="00135710" w:rsidP="00CC51EC">
      <w:pPr>
        <w:pStyle w:val="BasicParagraph"/>
        <w:spacing w:before="240" w:after="240" w:line="360" w:lineRule="auto"/>
        <w:ind w:firstLine="1701"/>
        <w:rPr>
          <w:rFonts w:ascii="Arial" w:hAnsi="Arial" w:cs="Arial"/>
          <w:color w:val="auto"/>
          <w:lang w:val="pt-BR"/>
        </w:rPr>
      </w:pPr>
      <w:r w:rsidRPr="005369BA">
        <w:rPr>
          <w:rFonts w:ascii="Arial" w:hAnsi="Arial" w:cs="Arial"/>
          <w:color w:val="auto"/>
          <w:lang w:val="pt-BR"/>
        </w:rPr>
        <w:t xml:space="preserve">Atenciosamente, </w:t>
      </w:r>
    </w:p>
    <w:p w14:paraId="7A6A5D34" w14:textId="77777777" w:rsidR="00135710" w:rsidRDefault="00135710" w:rsidP="00CA5855">
      <w:pPr>
        <w:pStyle w:val="BasicParagraph"/>
        <w:spacing w:before="240" w:after="240" w:line="360" w:lineRule="auto"/>
        <w:jc w:val="center"/>
        <w:rPr>
          <w:rFonts w:ascii="Arial" w:hAnsi="Arial" w:cs="Arial"/>
          <w:color w:val="auto"/>
          <w:lang w:val="pt-BR"/>
        </w:rPr>
      </w:pPr>
    </w:p>
    <w:p w14:paraId="3B7C2575" w14:textId="77777777" w:rsidR="006C7F2E" w:rsidRPr="005369BA" w:rsidRDefault="006C7F2E" w:rsidP="00CA5855">
      <w:pPr>
        <w:pStyle w:val="BasicParagraph"/>
        <w:spacing w:before="240" w:after="240" w:line="360" w:lineRule="auto"/>
        <w:jc w:val="center"/>
        <w:rPr>
          <w:rFonts w:ascii="Arial" w:hAnsi="Arial" w:cs="Arial"/>
          <w:color w:val="auto"/>
          <w:lang w:val="pt-BR"/>
        </w:rPr>
      </w:pPr>
    </w:p>
    <w:p w14:paraId="0F473409" w14:textId="77777777" w:rsidR="006C7F2E" w:rsidRPr="005369BA" w:rsidRDefault="006C7F2E" w:rsidP="006C7F2E">
      <w:pPr>
        <w:spacing w:after="0" w:line="240" w:lineRule="auto"/>
        <w:ind w:right="142"/>
        <w:jc w:val="center"/>
        <w:rPr>
          <w:rFonts w:ascii="Arial" w:hAnsi="Arial" w:cs="Arial"/>
          <w:b/>
          <w:bCs/>
        </w:rPr>
      </w:pPr>
      <w:r w:rsidRPr="005369BA">
        <w:rPr>
          <w:rFonts w:ascii="Arial" w:hAnsi="Arial" w:cs="Arial"/>
          <w:b/>
          <w:bCs/>
        </w:rPr>
        <w:t>GEFERSON MICHEL SANTOS DE SALES</w:t>
      </w:r>
    </w:p>
    <w:p w14:paraId="39A3ED73" w14:textId="77777777" w:rsidR="006C7F2E" w:rsidRPr="009F747F" w:rsidRDefault="006C7F2E" w:rsidP="006C7F2E">
      <w:pPr>
        <w:spacing w:after="0" w:line="240" w:lineRule="auto"/>
        <w:ind w:right="142"/>
        <w:jc w:val="center"/>
        <w:rPr>
          <w:rFonts w:ascii="Arial" w:hAnsi="Arial" w:cs="Arial"/>
          <w:sz w:val="24"/>
          <w:szCs w:val="24"/>
        </w:rPr>
      </w:pPr>
      <w:r w:rsidRPr="009F747F">
        <w:rPr>
          <w:rFonts w:ascii="Arial" w:hAnsi="Arial" w:cs="Arial"/>
          <w:sz w:val="24"/>
          <w:szCs w:val="24"/>
        </w:rPr>
        <w:t>Diretor de Tecnologia da Informação e Inovação</w:t>
      </w:r>
    </w:p>
    <w:p w14:paraId="1094E938" w14:textId="0D453556" w:rsidR="009B374C" w:rsidRPr="009F747F" w:rsidRDefault="006C7F2E" w:rsidP="006C7F2E">
      <w:pPr>
        <w:spacing w:line="240" w:lineRule="auto"/>
        <w:jc w:val="center"/>
        <w:rPr>
          <w:rFonts w:ascii="Arial" w:hAnsi="Arial" w:cs="Arial"/>
          <w:sz w:val="24"/>
          <w:szCs w:val="24"/>
        </w:rPr>
      </w:pPr>
      <w:r w:rsidRPr="009F747F">
        <w:rPr>
          <w:rFonts w:ascii="Arial" w:hAnsi="Arial" w:cs="Arial"/>
          <w:sz w:val="24"/>
          <w:szCs w:val="24"/>
        </w:rPr>
        <w:t xml:space="preserve">Matrícula nº </w:t>
      </w:r>
      <w:r w:rsidR="00CA5855" w:rsidRPr="009F747F">
        <w:rPr>
          <w:rFonts w:ascii="Arial" w:hAnsi="Arial" w:cs="Arial"/>
          <w:sz w:val="24"/>
          <w:szCs w:val="24"/>
        </w:rPr>
        <w:t>1200</w:t>
      </w:r>
      <w:r w:rsidRPr="009F747F">
        <w:rPr>
          <w:rFonts w:ascii="Arial" w:hAnsi="Arial" w:cs="Arial"/>
          <w:sz w:val="24"/>
          <w:szCs w:val="24"/>
        </w:rPr>
        <w:t>028</w:t>
      </w:r>
    </w:p>
    <w:sectPr w:rsidR="009B374C" w:rsidRPr="009F747F" w:rsidSect="00CA5855">
      <w:headerReference w:type="default" r:id="rId8"/>
      <w:footerReference w:type="default" r:id="rId9"/>
      <w:pgSz w:w="11906" w:h="16838" w:code="9"/>
      <w:pgMar w:top="2410" w:right="136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7337" w14:textId="77777777" w:rsidR="00F006CB" w:rsidRPr="005369BA" w:rsidRDefault="00F006CB" w:rsidP="00AF5C8C">
      <w:pPr>
        <w:spacing w:after="0" w:line="240" w:lineRule="auto"/>
      </w:pPr>
      <w:r w:rsidRPr="005369BA">
        <w:separator/>
      </w:r>
    </w:p>
  </w:endnote>
  <w:endnote w:type="continuationSeparator" w:id="0">
    <w:p w14:paraId="14CA5EF3" w14:textId="77777777" w:rsidR="00F006CB" w:rsidRPr="005369BA" w:rsidRDefault="00F006CB" w:rsidP="00AF5C8C">
      <w:pPr>
        <w:spacing w:after="0" w:line="240" w:lineRule="auto"/>
      </w:pPr>
      <w:r w:rsidRPr="00536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angram">
    <w:altName w:val="Calibri"/>
    <w:panose1 w:val="00000000000000000000"/>
    <w:charset w:val="00"/>
    <w:family w:val="modern"/>
    <w:notTrueType/>
    <w:pitch w:val="variable"/>
    <w:sig w:usb0="00000007" w:usb1="00000000" w:usb2="00000000" w:usb3="00000000" w:csb0="00000093" w:csb1="00000000"/>
  </w:font>
  <w:font w:name="Pangram Extra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6FB6" w14:textId="05C69483" w:rsidR="00130E66" w:rsidRPr="005369BA" w:rsidRDefault="00130E66" w:rsidP="00130E66">
    <w:pPr>
      <w:pStyle w:val="BasicParagraph"/>
      <w:ind w:left="3540"/>
      <w:jc w:val="right"/>
      <w:rPr>
        <w:rFonts w:ascii="Pangram" w:hAnsi="Pangram" w:cs="Pangram"/>
        <w:sz w:val="16"/>
        <w:szCs w:val="16"/>
        <w:lang w:val="pt-BR"/>
      </w:rPr>
    </w:pPr>
    <w:r w:rsidRPr="005369BA">
      <w:rPr>
        <w:rFonts w:ascii="Pangram" w:hAnsi="Pangram" w:cs="Pangram"/>
        <w:sz w:val="16"/>
        <w:szCs w:val="16"/>
        <w:lang w:val="pt-BR"/>
      </w:rPr>
      <w:t>Rua Jovino Duarte de Oliveira, 481</w:t>
    </w:r>
  </w:p>
  <w:p w14:paraId="0C5D73A2" w14:textId="77777777" w:rsidR="00130E66" w:rsidRPr="005369BA" w:rsidRDefault="00130E66" w:rsidP="00130E66">
    <w:pPr>
      <w:pStyle w:val="BasicParagraph"/>
      <w:ind w:left="3540"/>
      <w:jc w:val="right"/>
      <w:rPr>
        <w:rFonts w:ascii="Pangram" w:hAnsi="Pangram" w:cs="Pangram"/>
        <w:sz w:val="16"/>
        <w:szCs w:val="16"/>
        <w:lang w:val="pt-BR"/>
      </w:rPr>
    </w:pPr>
    <w:r w:rsidRPr="005369BA">
      <w:rPr>
        <w:rFonts w:ascii="Pangram" w:hAnsi="Pangram" w:cs="Pangram"/>
        <w:sz w:val="16"/>
        <w:szCs w:val="16"/>
        <w:lang w:val="pt-BR"/>
      </w:rPr>
      <w:t>Aeroporto de Maricá - Centro - Maricá - RJ - CEP: 24901-130</w:t>
    </w:r>
  </w:p>
  <w:p w14:paraId="77576940" w14:textId="445CCBCA" w:rsidR="00130E66" w:rsidRPr="005369BA" w:rsidRDefault="00130E66" w:rsidP="006C7F2E">
    <w:pPr>
      <w:pStyle w:val="Rodap"/>
      <w:ind w:left="3540"/>
      <w:jc w:val="right"/>
    </w:pPr>
    <w:r w:rsidRPr="005369BA">
      <w:rPr>
        <w:rFonts w:ascii="Pangram ExtraBold" w:hAnsi="Pangram ExtraBold" w:cs="Pangram ExtraBold"/>
        <w:b/>
        <w:bCs/>
        <w:sz w:val="16"/>
        <w:szCs w:val="16"/>
      </w:rPr>
      <w:t>Telefone: 21 2634-</w:t>
    </w:r>
    <w:proofErr w:type="gramStart"/>
    <w:r w:rsidRPr="005369BA">
      <w:rPr>
        <w:rFonts w:ascii="Pangram ExtraBold" w:hAnsi="Pangram ExtraBold" w:cs="Pangram ExtraBold"/>
        <w:b/>
        <w:bCs/>
        <w:sz w:val="16"/>
        <w:szCs w:val="16"/>
      </w:rPr>
      <w:t>1318  /</w:t>
    </w:r>
    <w:proofErr w:type="gramEnd"/>
    <w:r w:rsidRPr="005369BA">
      <w:rPr>
        <w:rFonts w:ascii="Pangram ExtraBold" w:hAnsi="Pangram ExtraBold" w:cs="Pangram ExtraBold"/>
        <w:b/>
        <w:bCs/>
        <w:sz w:val="16"/>
        <w:szCs w:val="16"/>
      </w:rPr>
      <w:t xml:space="preserve">/ </w:t>
    </w:r>
    <w:r w:rsidRPr="005369BA">
      <w:rPr>
        <w:rFonts w:ascii="Pangram ExtraBold" w:hAnsi="Pangram ExtraBold" w:cs="Pangram ExtraBold"/>
        <w:b/>
        <w:bCs/>
        <w:color w:val="0091F4"/>
        <w:sz w:val="16"/>
        <w:szCs w:val="16"/>
      </w:rPr>
      <w:t>www.codemar-sa.com.br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26EF" w14:textId="77777777" w:rsidR="00F006CB" w:rsidRPr="005369BA" w:rsidRDefault="00F006CB" w:rsidP="00AF5C8C">
      <w:pPr>
        <w:spacing w:after="0" w:line="240" w:lineRule="auto"/>
      </w:pPr>
      <w:r w:rsidRPr="005369BA">
        <w:separator/>
      </w:r>
    </w:p>
  </w:footnote>
  <w:footnote w:type="continuationSeparator" w:id="0">
    <w:p w14:paraId="7ACB45E2" w14:textId="77777777" w:rsidR="00F006CB" w:rsidRPr="005369BA" w:rsidRDefault="00F006CB" w:rsidP="00AF5C8C">
      <w:pPr>
        <w:spacing w:after="0" w:line="240" w:lineRule="auto"/>
      </w:pPr>
      <w:r w:rsidRPr="00536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1EE4" w14:textId="354DEBA8" w:rsidR="00AF5C8C" w:rsidRPr="005369BA" w:rsidRDefault="006C7F2E">
    <w:pPr>
      <w:pStyle w:val="Cabealho"/>
    </w:pPr>
    <w:r w:rsidRPr="005369BA">
      <w:rPr>
        <w:rFonts w:ascii="Cambria" w:hAnsi="Cambria"/>
        <w:noProof/>
        <w:sz w:val="20"/>
        <w:szCs w:val="20"/>
        <w:lang w:eastAsia="pt-BR"/>
      </w:rPr>
      <mc:AlternateContent>
        <mc:Choice Requires="wps">
          <w:drawing>
            <wp:anchor distT="0" distB="0" distL="114300" distR="114300" simplePos="0" relativeHeight="251660288" behindDoc="0" locked="0" layoutInCell="1" allowOverlap="1" wp14:anchorId="2FF95BB5" wp14:editId="1173DA11">
              <wp:simplePos x="0" y="0"/>
              <wp:positionH relativeFrom="margin">
                <wp:posOffset>3293110</wp:posOffset>
              </wp:positionH>
              <wp:positionV relativeFrom="paragraph">
                <wp:posOffset>-50165</wp:posOffset>
              </wp:positionV>
              <wp:extent cx="1604962" cy="525145"/>
              <wp:effectExtent l="0" t="0" r="14605" b="2730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962" cy="52514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857A471" w14:textId="78553A38"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PROCESSO Nº:</w:t>
                          </w:r>
                          <w:r w:rsidRPr="005369BA">
                            <w:rPr>
                              <w:rFonts w:ascii="Open Sans" w:hAnsi="Open Sans" w:cs="Open Sans"/>
                              <w:sz w:val="16"/>
                              <w:szCs w:val="16"/>
                            </w:rPr>
                            <w:t xml:space="preserve"> </w:t>
                          </w:r>
                          <w:r w:rsidR="00532C40">
                            <w:rPr>
                              <w:rFonts w:ascii="Open Sans" w:hAnsi="Open Sans" w:cs="Open Sans"/>
                              <w:sz w:val="16"/>
                              <w:szCs w:val="16"/>
                            </w:rPr>
                            <w:t>6032</w:t>
                          </w:r>
                          <w:r w:rsidRPr="005369BA">
                            <w:rPr>
                              <w:rFonts w:ascii="Open Sans" w:hAnsi="Open Sans" w:cs="Open Sans"/>
                              <w:sz w:val="16"/>
                              <w:szCs w:val="16"/>
                            </w:rPr>
                            <w:t>/202</w:t>
                          </w:r>
                          <w:r w:rsidR="000243A8">
                            <w:rPr>
                              <w:rFonts w:ascii="Open Sans" w:hAnsi="Open Sans" w:cs="Open Sans"/>
                              <w:sz w:val="16"/>
                              <w:szCs w:val="16"/>
                            </w:rPr>
                            <w:t>6</w:t>
                          </w:r>
                        </w:p>
                        <w:p w14:paraId="454C486F" w14:textId="520C574D"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DATA DO INÍCIO:</w:t>
                          </w:r>
                          <w:r w:rsidRPr="005369BA">
                            <w:rPr>
                              <w:rFonts w:ascii="Open Sans" w:hAnsi="Open Sans" w:cs="Open Sans"/>
                              <w:sz w:val="16"/>
                              <w:szCs w:val="16"/>
                            </w:rPr>
                            <w:t xml:space="preserve"> </w:t>
                          </w:r>
                          <w:r w:rsidR="00532C40">
                            <w:rPr>
                              <w:rFonts w:ascii="Open Sans" w:hAnsi="Open Sans" w:cs="Open Sans"/>
                              <w:sz w:val="16"/>
                              <w:szCs w:val="16"/>
                            </w:rPr>
                            <w:t>27</w:t>
                          </w:r>
                          <w:r w:rsidRPr="005369BA">
                            <w:rPr>
                              <w:rFonts w:ascii="Open Sans" w:hAnsi="Open Sans" w:cs="Open Sans"/>
                              <w:sz w:val="16"/>
                              <w:szCs w:val="16"/>
                            </w:rPr>
                            <w:t>/0</w:t>
                          </w:r>
                          <w:r w:rsidR="00532C40">
                            <w:rPr>
                              <w:rFonts w:ascii="Open Sans" w:hAnsi="Open Sans" w:cs="Open Sans"/>
                              <w:sz w:val="16"/>
                              <w:szCs w:val="16"/>
                            </w:rPr>
                            <w:t>3</w:t>
                          </w:r>
                          <w:r w:rsidRPr="005369BA">
                            <w:rPr>
                              <w:rFonts w:ascii="Open Sans" w:hAnsi="Open Sans" w:cs="Open Sans"/>
                              <w:sz w:val="16"/>
                              <w:szCs w:val="16"/>
                            </w:rPr>
                            <w:t>/202</w:t>
                          </w:r>
                          <w:r w:rsidR="00532C40">
                            <w:rPr>
                              <w:rFonts w:ascii="Open Sans" w:hAnsi="Open Sans" w:cs="Open Sans"/>
                              <w:sz w:val="16"/>
                              <w:szCs w:val="16"/>
                            </w:rPr>
                            <w:t>6</w:t>
                          </w:r>
                        </w:p>
                        <w:p w14:paraId="1A83ABCF" w14:textId="77777777"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FOLHA:</w:t>
                          </w:r>
                          <w:r w:rsidRPr="005369BA">
                            <w:rPr>
                              <w:rFonts w:ascii="Open Sans" w:hAnsi="Open Sans" w:cs="Open Sans"/>
                              <w:sz w:val="16"/>
                              <w:szCs w:val="16"/>
                            </w:rPr>
                            <w:t xml:space="preserve"> 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95BB5" id="_x0000_t202" coordsize="21600,21600" o:spt="202" path="m,l,21600r21600,l21600,xe">
              <v:stroke joinstyle="miter"/>
              <v:path gradientshapeok="t" o:connecttype="rect"/>
            </v:shapetype>
            <v:shape id="Caixa de texto 2" o:spid="_x0000_s1026" type="#_x0000_t202" style="position:absolute;margin-left:259.3pt;margin-top:-3.95pt;width:126.35pt;height:4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" fillcolor="white [3201]" strokecolor="#a5a5a5 [3206]" strokeweight="1pt">
              <v:textbox>
                <w:txbxContent>
                  <w:p w14:paraId="2857A471" w14:textId="78553A38"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PROCESSO Nº:</w:t>
                    </w:r>
                    <w:r w:rsidRPr="005369BA">
                      <w:rPr>
                        <w:rFonts w:ascii="Open Sans" w:hAnsi="Open Sans" w:cs="Open Sans"/>
                        <w:sz w:val="16"/>
                        <w:szCs w:val="16"/>
                      </w:rPr>
                      <w:t xml:space="preserve"> </w:t>
                    </w:r>
                    <w:r w:rsidR="00532C40">
                      <w:rPr>
                        <w:rFonts w:ascii="Open Sans" w:hAnsi="Open Sans" w:cs="Open Sans"/>
                        <w:sz w:val="16"/>
                        <w:szCs w:val="16"/>
                      </w:rPr>
                      <w:t>6032</w:t>
                    </w:r>
                    <w:r w:rsidRPr="005369BA">
                      <w:rPr>
                        <w:rFonts w:ascii="Open Sans" w:hAnsi="Open Sans" w:cs="Open Sans"/>
                        <w:sz w:val="16"/>
                        <w:szCs w:val="16"/>
                      </w:rPr>
                      <w:t>/202</w:t>
                    </w:r>
                    <w:r w:rsidR="000243A8">
                      <w:rPr>
                        <w:rFonts w:ascii="Open Sans" w:hAnsi="Open Sans" w:cs="Open Sans"/>
                        <w:sz w:val="16"/>
                        <w:szCs w:val="16"/>
                      </w:rPr>
                      <w:t>6</w:t>
                    </w:r>
                  </w:p>
                  <w:p w14:paraId="454C486F" w14:textId="520C574D"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DATA DO INÍCIO:</w:t>
                    </w:r>
                    <w:r w:rsidRPr="005369BA">
                      <w:rPr>
                        <w:rFonts w:ascii="Open Sans" w:hAnsi="Open Sans" w:cs="Open Sans"/>
                        <w:sz w:val="16"/>
                        <w:szCs w:val="16"/>
                      </w:rPr>
                      <w:t xml:space="preserve"> </w:t>
                    </w:r>
                    <w:r w:rsidR="00532C40">
                      <w:rPr>
                        <w:rFonts w:ascii="Open Sans" w:hAnsi="Open Sans" w:cs="Open Sans"/>
                        <w:sz w:val="16"/>
                        <w:szCs w:val="16"/>
                      </w:rPr>
                      <w:t>27</w:t>
                    </w:r>
                    <w:r w:rsidRPr="005369BA">
                      <w:rPr>
                        <w:rFonts w:ascii="Open Sans" w:hAnsi="Open Sans" w:cs="Open Sans"/>
                        <w:sz w:val="16"/>
                        <w:szCs w:val="16"/>
                      </w:rPr>
                      <w:t>/0</w:t>
                    </w:r>
                    <w:r w:rsidR="00532C40">
                      <w:rPr>
                        <w:rFonts w:ascii="Open Sans" w:hAnsi="Open Sans" w:cs="Open Sans"/>
                        <w:sz w:val="16"/>
                        <w:szCs w:val="16"/>
                      </w:rPr>
                      <w:t>3</w:t>
                    </w:r>
                    <w:r w:rsidRPr="005369BA">
                      <w:rPr>
                        <w:rFonts w:ascii="Open Sans" w:hAnsi="Open Sans" w:cs="Open Sans"/>
                        <w:sz w:val="16"/>
                        <w:szCs w:val="16"/>
                      </w:rPr>
                      <w:t>/202</w:t>
                    </w:r>
                    <w:r w:rsidR="00532C40">
                      <w:rPr>
                        <w:rFonts w:ascii="Open Sans" w:hAnsi="Open Sans" w:cs="Open Sans"/>
                        <w:sz w:val="16"/>
                        <w:szCs w:val="16"/>
                      </w:rPr>
                      <w:t>6</w:t>
                    </w:r>
                  </w:p>
                  <w:p w14:paraId="1A83ABCF" w14:textId="77777777" w:rsidR="00007DF8" w:rsidRPr="005369BA" w:rsidRDefault="00007DF8" w:rsidP="00007DF8">
                    <w:pPr>
                      <w:spacing w:after="0" w:line="240" w:lineRule="auto"/>
                      <w:rPr>
                        <w:rFonts w:ascii="Open Sans" w:hAnsi="Open Sans" w:cs="Open Sans"/>
                        <w:sz w:val="16"/>
                        <w:szCs w:val="16"/>
                      </w:rPr>
                    </w:pPr>
                    <w:r w:rsidRPr="005369BA">
                      <w:rPr>
                        <w:rFonts w:ascii="Open Sans" w:hAnsi="Open Sans" w:cs="Open Sans"/>
                        <w:b/>
                        <w:sz w:val="16"/>
                        <w:szCs w:val="16"/>
                      </w:rPr>
                      <w:t>FOLHA:</w:t>
                    </w:r>
                    <w:r w:rsidRPr="005369BA">
                      <w:rPr>
                        <w:rFonts w:ascii="Open Sans" w:hAnsi="Open Sans" w:cs="Open Sans"/>
                        <w:sz w:val="16"/>
                        <w:szCs w:val="16"/>
                      </w:rPr>
                      <w:t xml:space="preserve"> _____________________</w:t>
                    </w:r>
                  </w:p>
                </w:txbxContent>
              </v:textbox>
              <w10:wrap anchorx="margin"/>
            </v:shape>
          </w:pict>
        </mc:Fallback>
      </mc:AlternateContent>
    </w:r>
    <w:r w:rsidRPr="005369BA">
      <w:rPr>
        <w:rFonts w:ascii="Cambria" w:hAnsi="Cambria"/>
        <w:noProof/>
        <w:sz w:val="20"/>
        <w:szCs w:val="20"/>
        <w:lang w:eastAsia="pt-BR"/>
      </w:rPr>
      <mc:AlternateContent>
        <mc:Choice Requires="wps">
          <w:drawing>
            <wp:anchor distT="0" distB="0" distL="114300" distR="114300" simplePos="0" relativeHeight="251662336" behindDoc="0" locked="0" layoutInCell="1" allowOverlap="1" wp14:anchorId="0DF5B3A5" wp14:editId="4D55F9A8">
              <wp:simplePos x="0" y="0"/>
              <wp:positionH relativeFrom="margin">
                <wp:posOffset>5024120</wp:posOffset>
              </wp:positionH>
              <wp:positionV relativeFrom="paragraph">
                <wp:posOffset>-41275</wp:posOffset>
              </wp:positionV>
              <wp:extent cx="723331" cy="525439"/>
              <wp:effectExtent l="0" t="0" r="19685" b="2730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5254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4C7A4B3" w14:textId="77777777" w:rsidR="00007DF8" w:rsidRPr="005369BA" w:rsidRDefault="00007DF8" w:rsidP="00007DF8">
                          <w:pPr>
                            <w:spacing w:after="0" w:line="240" w:lineRule="auto"/>
                            <w:jc w:val="center"/>
                            <w:rPr>
                              <w:rFonts w:ascii="Open Sans" w:hAnsi="Open Sans" w:cs="Open Sans"/>
                              <w:sz w:val="16"/>
                              <w:szCs w:val="16"/>
                            </w:rPr>
                          </w:pPr>
                          <w:r w:rsidRPr="005369BA">
                            <w:rPr>
                              <w:rFonts w:ascii="Open Sans" w:hAnsi="Open Sans" w:cs="Open Sans"/>
                              <w:b/>
                              <w:sz w:val="16"/>
                              <w:szCs w:val="16"/>
                            </w:rPr>
                            <w:t>RUBRICA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5B3A5" id="_x0000_s1027" type="#_x0000_t202" style="position:absolute;margin-left:395.6pt;margin-top:-3.25pt;width:56.95pt;height:4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" fillcolor="white [3201]" strokecolor="#a5a5a5 [3206]" strokeweight="1pt">
              <v:textbox>
                <w:txbxContent>
                  <w:p w14:paraId="14C7A4B3" w14:textId="77777777" w:rsidR="00007DF8" w:rsidRPr="005369BA" w:rsidRDefault="00007DF8" w:rsidP="00007DF8">
                    <w:pPr>
                      <w:spacing w:after="0" w:line="240" w:lineRule="auto"/>
                      <w:jc w:val="center"/>
                      <w:rPr>
                        <w:rFonts w:ascii="Open Sans" w:hAnsi="Open Sans" w:cs="Open Sans"/>
                        <w:sz w:val="16"/>
                        <w:szCs w:val="16"/>
                      </w:rPr>
                    </w:pPr>
                    <w:r w:rsidRPr="005369BA">
                      <w:rPr>
                        <w:rFonts w:ascii="Open Sans" w:hAnsi="Open Sans" w:cs="Open Sans"/>
                        <w:b/>
                        <w:sz w:val="16"/>
                        <w:szCs w:val="16"/>
                      </w:rPr>
                      <w:t>RUBRICA</w:t>
                    </w:r>
                  </w:p>
                </w:txbxContent>
              </v:textbox>
              <w10:wrap anchorx="margin"/>
            </v:shape>
          </w:pict>
        </mc:Fallback>
      </mc:AlternateContent>
    </w:r>
    <w:r w:rsidRPr="005369BA">
      <w:rPr>
        <w:noProof/>
      </w:rPr>
      <w:drawing>
        <wp:anchor distT="0" distB="0" distL="114300" distR="114300" simplePos="0" relativeHeight="251658240" behindDoc="1" locked="0" layoutInCell="1" allowOverlap="1" wp14:anchorId="7132B92A" wp14:editId="038BEBB9">
          <wp:simplePos x="0" y="0"/>
          <wp:positionH relativeFrom="page">
            <wp:align>left</wp:align>
          </wp:positionH>
          <wp:positionV relativeFrom="page">
            <wp:posOffset>-809625</wp:posOffset>
          </wp:positionV>
          <wp:extent cx="7560000" cy="10688400"/>
          <wp:effectExtent l="0" t="0" r="3175" b="0"/>
          <wp:wrapNone/>
          <wp:docPr id="1180923899" name="Imagem 118092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fundo-e-logo-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616B1"/>
    <w:multiLevelType w:val="multilevel"/>
    <w:tmpl w:val="A5D0B8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AC58AF"/>
    <w:multiLevelType w:val="hybridMultilevel"/>
    <w:tmpl w:val="15BAD9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1045668">
    <w:abstractNumId w:val="0"/>
  </w:num>
  <w:num w:numId="2" w16cid:durableId="132037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98"/>
    <w:rsid w:val="00007DF8"/>
    <w:rsid w:val="000243A8"/>
    <w:rsid w:val="00036EAE"/>
    <w:rsid w:val="00050480"/>
    <w:rsid w:val="000731FF"/>
    <w:rsid w:val="00082661"/>
    <w:rsid w:val="000B2395"/>
    <w:rsid w:val="000B3B66"/>
    <w:rsid w:val="000B5721"/>
    <w:rsid w:val="000E71A8"/>
    <w:rsid w:val="00130E66"/>
    <w:rsid w:val="00135710"/>
    <w:rsid w:val="00195375"/>
    <w:rsid w:val="001C3C5B"/>
    <w:rsid w:val="001D7D26"/>
    <w:rsid w:val="001E5AC5"/>
    <w:rsid w:val="00217031"/>
    <w:rsid w:val="002641E7"/>
    <w:rsid w:val="0027273E"/>
    <w:rsid w:val="00293225"/>
    <w:rsid w:val="00294A98"/>
    <w:rsid w:val="002952FC"/>
    <w:rsid w:val="00343371"/>
    <w:rsid w:val="003903E5"/>
    <w:rsid w:val="003A052B"/>
    <w:rsid w:val="003C3568"/>
    <w:rsid w:val="00406703"/>
    <w:rsid w:val="004E0C57"/>
    <w:rsid w:val="004E7D4A"/>
    <w:rsid w:val="004F3513"/>
    <w:rsid w:val="00521163"/>
    <w:rsid w:val="00525F09"/>
    <w:rsid w:val="00532C40"/>
    <w:rsid w:val="005330C8"/>
    <w:rsid w:val="005369BA"/>
    <w:rsid w:val="005F6478"/>
    <w:rsid w:val="005F7134"/>
    <w:rsid w:val="00607F48"/>
    <w:rsid w:val="006117D6"/>
    <w:rsid w:val="00614DBF"/>
    <w:rsid w:val="00661ED5"/>
    <w:rsid w:val="0069327A"/>
    <w:rsid w:val="006C7F2E"/>
    <w:rsid w:val="00743B10"/>
    <w:rsid w:val="007731B4"/>
    <w:rsid w:val="007952D9"/>
    <w:rsid w:val="007C7CE8"/>
    <w:rsid w:val="007F5CDB"/>
    <w:rsid w:val="00805478"/>
    <w:rsid w:val="0082048B"/>
    <w:rsid w:val="00830ED2"/>
    <w:rsid w:val="0084797E"/>
    <w:rsid w:val="008840CA"/>
    <w:rsid w:val="008A0A13"/>
    <w:rsid w:val="008C33BC"/>
    <w:rsid w:val="008E74CC"/>
    <w:rsid w:val="009234B2"/>
    <w:rsid w:val="00984386"/>
    <w:rsid w:val="009B374C"/>
    <w:rsid w:val="009F747F"/>
    <w:rsid w:val="00AF5C8C"/>
    <w:rsid w:val="00B40758"/>
    <w:rsid w:val="00B7688B"/>
    <w:rsid w:val="00B815CA"/>
    <w:rsid w:val="00C132AE"/>
    <w:rsid w:val="00C20093"/>
    <w:rsid w:val="00C5691E"/>
    <w:rsid w:val="00CA5855"/>
    <w:rsid w:val="00CA6B1D"/>
    <w:rsid w:val="00CB5CED"/>
    <w:rsid w:val="00CC51EC"/>
    <w:rsid w:val="00D353DA"/>
    <w:rsid w:val="00DA6768"/>
    <w:rsid w:val="00DE081D"/>
    <w:rsid w:val="00E16BC8"/>
    <w:rsid w:val="00E753CB"/>
    <w:rsid w:val="00EC687C"/>
    <w:rsid w:val="00EE0C55"/>
    <w:rsid w:val="00EE27B8"/>
    <w:rsid w:val="00F006CB"/>
    <w:rsid w:val="00F4732A"/>
    <w:rsid w:val="00F93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C01B"/>
  <w15:chartTrackingRefBased/>
  <w15:docId w15:val="{88443E3D-710E-483F-899B-7E59F6C0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5C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5C8C"/>
  </w:style>
  <w:style w:type="paragraph" w:styleId="Rodap">
    <w:name w:val="footer"/>
    <w:basedOn w:val="Normal"/>
    <w:link w:val="RodapChar"/>
    <w:uiPriority w:val="99"/>
    <w:unhideWhenUsed/>
    <w:rsid w:val="00AF5C8C"/>
    <w:pPr>
      <w:tabs>
        <w:tab w:val="center" w:pos="4252"/>
        <w:tab w:val="right" w:pos="8504"/>
      </w:tabs>
      <w:spacing w:after="0" w:line="240" w:lineRule="auto"/>
    </w:pPr>
  </w:style>
  <w:style w:type="character" w:customStyle="1" w:styleId="RodapChar">
    <w:name w:val="Rodapé Char"/>
    <w:basedOn w:val="Fontepargpadro"/>
    <w:link w:val="Rodap"/>
    <w:uiPriority w:val="99"/>
    <w:rsid w:val="00AF5C8C"/>
  </w:style>
  <w:style w:type="paragraph" w:styleId="Textodebalo">
    <w:name w:val="Balloon Text"/>
    <w:basedOn w:val="Normal"/>
    <w:link w:val="TextodebaloChar"/>
    <w:uiPriority w:val="99"/>
    <w:semiHidden/>
    <w:unhideWhenUsed/>
    <w:rsid w:val="00AF5C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5C8C"/>
    <w:rPr>
      <w:rFonts w:ascii="Segoe UI" w:hAnsi="Segoe UI" w:cs="Segoe UI"/>
      <w:sz w:val="18"/>
      <w:szCs w:val="18"/>
    </w:rPr>
  </w:style>
  <w:style w:type="paragraph" w:customStyle="1" w:styleId="BasicParagraph">
    <w:name w:val="[Basic Paragraph]"/>
    <w:basedOn w:val="Normal"/>
    <w:uiPriority w:val="99"/>
    <w:rsid w:val="00AF5C8C"/>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NormalWeb">
    <w:name w:val="Normal (Web)"/>
    <w:basedOn w:val="Normal"/>
    <w:uiPriority w:val="99"/>
    <w:qFormat/>
    <w:rsid w:val="00195375"/>
    <w:pPr>
      <w:suppressAutoHyphens/>
      <w:spacing w:beforeAutospacing="1" w:after="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5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4EE284262F0B1429A903D7D55F368EF" ma:contentTypeVersion="16" ma:contentTypeDescription="Crie um novo documento." ma:contentTypeScope="" ma:versionID="c249e357d817aee45cf4f40c5f972a54">
  <xsd:schema xmlns:xsd="http://www.w3.org/2001/XMLSchema" xmlns:xs="http://www.w3.org/2001/XMLSchema" xmlns:p="http://schemas.microsoft.com/office/2006/metadata/properties" xmlns:ns2="961e4e6a-4c72-4872-aa1d-2c164b3d91c1" xmlns:ns3="90558285-3257-494f-9f02-e52abd55986a" targetNamespace="http://schemas.microsoft.com/office/2006/metadata/properties" ma:root="true" ma:fieldsID="0e0987c1e482e0b5c5be54f3a56439fa" ns2:_="" ns3:_="">
    <xsd:import namespace="961e4e6a-4c72-4872-aa1d-2c164b3d91c1"/>
    <xsd:import namespace="90558285-3257-494f-9f02-e52abd559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da_ltimap_x00e1_gi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e4e6a-4c72-4872-aa1d-2c164b3d9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324efdb0-195b-4bea-813c-50e012bf42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ltimap_x00e1_gina" ma:index="23" nillable="true" ma:displayName="Última página" ma:format="Dropdown" ma:internalName="_x00da_ltimap_x00e1_gi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58285-3257-494f-9f02-e52abd55986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30c3d38-56c1-4b2b-80bc-c17f2d00c4e7}" ma:internalName="TaxCatchAll" ma:showField="CatchAllData" ma:web="90558285-3257-494f-9f02-e52abd559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558285-3257-494f-9f02-e52abd55986a" xsi:nil="true"/>
    <_x00da_ltimap_x00e1_gina xmlns="961e4e6a-4c72-4872-aa1d-2c164b3d91c1" xsi:nil="true"/>
    <lcf76f155ced4ddcb4097134ff3c332f xmlns="961e4e6a-4c72-4872-aa1d-2c164b3d9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6C4CF-3E66-4050-89BB-5F347A840948}">
  <ds:schemaRefs>
    <ds:schemaRef ds:uri="http://schemas.openxmlformats.org/officeDocument/2006/bibliography"/>
  </ds:schemaRefs>
</ds:datastoreItem>
</file>

<file path=customXml/itemProps2.xml><?xml version="1.0" encoding="utf-8"?>
<ds:datastoreItem xmlns:ds="http://schemas.openxmlformats.org/officeDocument/2006/customXml" ds:itemID="{5DB929A1-9B88-46C6-B42D-702E07A0C8C8}"/>
</file>

<file path=customXml/itemProps3.xml><?xml version="1.0" encoding="utf-8"?>
<ds:datastoreItem xmlns:ds="http://schemas.openxmlformats.org/officeDocument/2006/customXml" ds:itemID="{C8386078-589B-4F2A-9A0D-69216AC235BD}"/>
</file>

<file path=customXml/itemProps4.xml><?xml version="1.0" encoding="utf-8"?>
<ds:datastoreItem xmlns:ds="http://schemas.openxmlformats.org/officeDocument/2006/customXml" ds:itemID="{CD38778A-4F9A-449F-A022-F5136F6515DE}"/>
</file>

<file path=docProps/app.xml><?xml version="1.0" encoding="utf-8"?>
<Properties xmlns="http://schemas.openxmlformats.org/officeDocument/2006/extended-properties" xmlns:vt="http://schemas.openxmlformats.org/officeDocument/2006/docPropsVTypes">
  <Template>Normal.dotm</Template>
  <TotalTime>147</TotalTime>
  <Pages>3</Pages>
  <Words>695</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Autor</cp:lastModifiedBy>
  <cp:revision>17</cp:revision>
  <cp:lastPrinted>2025-09-09T12:20:00Z</cp:lastPrinted>
  <dcterms:created xsi:type="dcterms:W3CDTF">2025-09-09T13:34:00Z</dcterms:created>
  <dcterms:modified xsi:type="dcterms:W3CDTF">2026-04-14T15:19:00Z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0x01010084EE284262F0B1429A903D7D55F368EF</vt:lpwstr>
  </property>
</Properties>
</file>